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4F1E5B">
        <w:rPr>
          <w:b/>
        </w:rPr>
        <w:t>1/2017</w:t>
      </w:r>
      <w:r w:rsidRPr="009E0DA1">
        <w:rPr>
          <w:b/>
        </w:rPr>
        <w:t xml:space="preserve"> </w:t>
      </w:r>
    </w:p>
    <w:p w:rsidR="00A45EA9" w:rsidRPr="009E0DA1" w:rsidRDefault="00A45EA9" w:rsidP="00A45EA9">
      <w:pPr>
        <w:jc w:val="center"/>
        <w:rPr>
          <w:b/>
        </w:rPr>
      </w:pPr>
    </w:p>
    <w:p w:rsidR="00A45EA9" w:rsidRPr="009E0DA1" w:rsidRDefault="00A45EA9" w:rsidP="00A45EA9">
      <w:pPr>
        <w:tabs>
          <w:tab w:val="left" w:pos="8080"/>
        </w:tabs>
        <w:jc w:val="both"/>
      </w:pPr>
      <w:r w:rsidRPr="009E0DA1">
        <w:t>Liepājā,                                                                                          2017.</w:t>
      </w:r>
      <w:r w:rsidR="004F1E5B">
        <w:t>g</w:t>
      </w:r>
      <w:r w:rsidRPr="009E0DA1">
        <w:t>ada</w:t>
      </w:r>
      <w:r w:rsidR="004F1E5B">
        <w:t xml:space="preserve"> 23</w:t>
      </w:r>
      <w:r w:rsidRPr="009E0DA1">
        <w:t>.</w:t>
      </w:r>
      <w:r w:rsidR="00F97A26">
        <w:t>novembrī</w:t>
      </w:r>
    </w:p>
    <w:p w:rsidR="00A45EA9" w:rsidRPr="009E0DA1" w:rsidRDefault="00A45EA9" w:rsidP="00A45EA9">
      <w:pPr>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Default="009B6ABB" w:rsidP="00A45EA9">
      <w:pPr>
        <w:jc w:val="both"/>
      </w:pPr>
      <w:r w:rsidRPr="00AF1239">
        <w:rPr>
          <w:b/>
        </w:rPr>
        <w:t>AS ”LPB”</w:t>
      </w:r>
      <w:r w:rsidRPr="00AF1239">
        <w:t xml:space="preserve">, vienotais reģistrācijas Nr.52103003541, tās pilnvarotās personas Zanes </w:t>
      </w:r>
      <w:proofErr w:type="spellStart"/>
      <w:r w:rsidRPr="00AF1239">
        <w:t>Briķes</w:t>
      </w:r>
      <w:proofErr w:type="spellEnd"/>
      <w:r w:rsidRPr="00AF1239">
        <w:t xml:space="preserve"> (pilnvara) personā, kuru pilnvarojusi valdes priekšsēdētāja Inta </w:t>
      </w:r>
      <w:proofErr w:type="spellStart"/>
      <w:r w:rsidRPr="00AF1239">
        <w:t>Daga</w:t>
      </w:r>
      <w:proofErr w:type="spellEnd"/>
      <w:r w:rsidRPr="00AF1239">
        <w:t xml:space="preserve">, kura rīkojas saskaņā ar akciju sabiedrība statūtiem, </w:t>
      </w:r>
      <w:r w:rsidR="00A45EA9" w:rsidRPr="009E0DA1">
        <w:t xml:space="preserve">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C621EE" w:rsidRPr="009E0DA1" w:rsidRDefault="00C621EE"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D8077B" w:rsidRPr="0085441D" w:rsidRDefault="00A45EA9" w:rsidP="00D8077B">
      <w:pPr>
        <w:pStyle w:val="Sarakstarindkopa"/>
        <w:numPr>
          <w:ilvl w:val="1"/>
          <w:numId w:val="1"/>
        </w:numPr>
        <w:tabs>
          <w:tab w:val="clear" w:pos="562"/>
          <w:tab w:val="num" w:pos="426"/>
        </w:tabs>
        <w:ind w:left="426" w:hanging="426"/>
        <w:jc w:val="both"/>
        <w:rPr>
          <w:b/>
        </w:rPr>
      </w:pPr>
      <w:r w:rsidRPr="006A7777">
        <w:t>Pārdevējs pārdod un piegādā Pircējam pā</w:t>
      </w:r>
      <w:r w:rsidR="00D8077B">
        <w:t xml:space="preserve">rtikas produktus iepirkuma daļā </w:t>
      </w:r>
      <w:r w:rsidRPr="00112343">
        <w:rPr>
          <w:b/>
        </w:rPr>
        <w:t>Nr.</w:t>
      </w:r>
      <w:r w:rsidR="00112343">
        <w:rPr>
          <w:b/>
        </w:rPr>
        <w:t>9</w:t>
      </w:r>
      <w:r w:rsidRPr="00112343">
        <w:rPr>
          <w:b/>
        </w:rPr>
        <w:t xml:space="preserve"> “</w:t>
      </w:r>
      <w:r w:rsidR="00112343">
        <w:rPr>
          <w:b/>
        </w:rPr>
        <w:t>Maize un miltu izstrādājumi</w:t>
      </w:r>
      <w:r w:rsidRPr="00112343">
        <w:rPr>
          <w:b/>
        </w:rPr>
        <w:t>”</w:t>
      </w:r>
      <w:r w:rsidR="00112343">
        <w:t xml:space="preserve"> </w:t>
      </w:r>
      <w:r w:rsidRPr="006A7777">
        <w:t>(turpmāk tekstā – Prece</w:t>
      </w:r>
      <w:r w:rsidRPr="006A7777">
        <w:rPr>
          <w:b/>
        </w:rPr>
        <w:t>)</w:t>
      </w:r>
      <w:r w:rsidRPr="006A7777">
        <w:t xml:space="preserve"> atbilstoši Pārdevēja iesniegtajam tehniskajam piedāvājumam un finanšu piedāvājumam atklātajam konkursam „P</w:t>
      </w:r>
      <w:r w:rsidR="00726FB0" w:rsidRPr="006A7777">
        <w:t>ārtikas preču piegāde Liepājas S</w:t>
      </w:r>
      <w:r w:rsidRPr="006A7777">
        <w:t>peciāl</w:t>
      </w:r>
      <w:r w:rsidR="00726FB0" w:rsidRPr="006A7777">
        <w:t>aj</w:t>
      </w:r>
      <w:r w:rsidRPr="006A7777">
        <w:t xml:space="preserve">ai </w:t>
      </w:r>
      <w:proofErr w:type="spellStart"/>
      <w:r w:rsidRPr="006A7777">
        <w:t>internātpamatskolai</w:t>
      </w:r>
      <w:proofErr w:type="spellEnd"/>
      <w:r w:rsidRPr="006A7777">
        <w:t xml:space="preserve">” (ID Nr. 2017/131)”. </w:t>
      </w:r>
      <w:r w:rsidR="00D8077B" w:rsidRPr="0085441D">
        <w:t>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 xml:space="preserve">Pircējam ir tiesības nepieņemt Preci, kas piegādāta pretēji šajā punktā un 3.1.punktā minētajiem </w:t>
      </w:r>
      <w:r w:rsidRPr="006A7777">
        <w:rPr>
          <w:w w:val="103"/>
        </w:rPr>
        <w:lastRenderedPageBreak/>
        <w:t>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74680C">
      <w:pPr>
        <w:numPr>
          <w:ilvl w:val="1"/>
          <w:numId w:val="1"/>
        </w:numPr>
        <w:tabs>
          <w:tab w:val="left" w:pos="2520"/>
        </w:tabs>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285136" w:rsidRPr="006A7777" w:rsidRDefault="00285136" w:rsidP="00285136">
      <w:pPr>
        <w:tabs>
          <w:tab w:val="left" w:pos="2520"/>
        </w:tabs>
        <w:ind w:left="426"/>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Default="00A45EA9" w:rsidP="00A45EA9">
      <w:pPr>
        <w:tabs>
          <w:tab w:val="left" w:pos="2520"/>
        </w:tabs>
        <w:jc w:val="both"/>
        <w:rPr>
          <w:b/>
        </w:rPr>
      </w:pPr>
    </w:p>
    <w:p w:rsidR="009B6ABB" w:rsidRDefault="009B6ABB" w:rsidP="00A45EA9">
      <w:pPr>
        <w:tabs>
          <w:tab w:val="left" w:pos="2520"/>
        </w:tabs>
        <w:jc w:val="both"/>
        <w:rPr>
          <w:b/>
        </w:rPr>
      </w:pPr>
    </w:p>
    <w:p w:rsidR="009B6ABB" w:rsidRDefault="009B6ABB" w:rsidP="00A45EA9">
      <w:pPr>
        <w:tabs>
          <w:tab w:val="left" w:pos="2520"/>
        </w:tabs>
        <w:jc w:val="both"/>
        <w:rPr>
          <w:b/>
        </w:rPr>
      </w:pPr>
    </w:p>
    <w:p w:rsidR="009B6ABB" w:rsidRPr="006A7777" w:rsidRDefault="009B6ABB" w:rsidP="00A45EA9">
      <w:pPr>
        <w:tabs>
          <w:tab w:val="left" w:pos="2520"/>
        </w:tabs>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lastRenderedPageBreak/>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F74B03" w:rsidRPr="006A7777" w:rsidRDefault="00F74B03" w:rsidP="008142C5">
      <w:pPr>
        <w:pStyle w:val="Sarakstarindkopa"/>
        <w:numPr>
          <w:ilvl w:val="2"/>
          <w:numId w:val="1"/>
        </w:numPr>
        <w:jc w:val="both"/>
      </w:pPr>
      <w:r w:rsidRPr="006A7777">
        <w:t xml:space="preserve">preču piegāde tiks veikta 200 km attāluma ietvaros no pārtikas produktu ražošanas vietas līdz  tālākai LSIPS piegādes vietai </w:t>
      </w:r>
      <w:r w:rsidRPr="006A7777">
        <w:rPr>
          <w:i/>
        </w:rPr>
        <w:t>(līguma punkts at</w:t>
      </w:r>
      <w:r w:rsidR="004B5972" w:rsidRPr="006A7777">
        <w:rPr>
          <w:i/>
        </w:rPr>
        <w:t>tiecas uz  Iepirkumu daļu Nr.9 “Maize un miltu izstrādājumi”</w:t>
      </w:r>
      <w:r w:rsidRPr="006A7777">
        <w:rPr>
          <w:i/>
        </w:rPr>
        <w:t>)</w:t>
      </w:r>
      <w:r w:rsidR="004B5972" w:rsidRPr="006A7777">
        <w:t>.</w:t>
      </w:r>
    </w:p>
    <w:p w:rsidR="004B5972" w:rsidRPr="006A7777" w:rsidRDefault="004B597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 xml:space="preserve">Puses savstarpēji ir atbildīgas par otrai Pusei nodarītajiem zaudējumiem, ja tie radušies vienas vai otras Puses vai tā darbinieka, kā arī šī līguma izpildē iesaistīto </w:t>
      </w:r>
      <w:r w:rsidRPr="006A7777">
        <w:lastRenderedPageBreak/>
        <w:t>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w:t>
      </w:r>
      <w:r w:rsidR="004B7FA7" w:rsidRPr="00A52E61">
        <w:t>līguma 5.2</w:t>
      </w:r>
      <w:r w:rsidRPr="00A52E61">
        <w:t>.</w:t>
      </w:r>
      <w:r w:rsidR="00730935" w:rsidRPr="00A52E61">
        <w:t>1</w:t>
      </w:r>
      <w:r w:rsidR="00A52E61" w:rsidRPr="00A52E61">
        <w:t>4</w:t>
      </w:r>
      <w:r w:rsidR="004B7FA7" w:rsidRPr="00A52E61">
        <w:t>.</w:t>
      </w:r>
      <w:r w:rsidRPr="00A52E61">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977167" w:rsidRDefault="00977167" w:rsidP="00730935">
      <w:pPr>
        <w:pStyle w:val="Sarakstarindkopa"/>
        <w:numPr>
          <w:ilvl w:val="2"/>
          <w:numId w:val="2"/>
        </w:numPr>
      </w:pPr>
      <w:r w:rsidRPr="00977167">
        <w:t>ja Pārdevējs neievēro līguma 5.1.1</w:t>
      </w:r>
      <w:r w:rsidR="00DB0787">
        <w:t>4</w:t>
      </w:r>
      <w:r w:rsidRPr="00977167">
        <w:t xml:space="preserve">. punktā noteikto, tad Pircējam ir tiesības piemērot Pārdevējam vienreizēju  līgumsodu 10 EUR (desmit </w:t>
      </w:r>
      <w:proofErr w:type="spellStart"/>
      <w:r w:rsidRPr="00977167">
        <w:t>euro</w:t>
      </w:r>
      <w:proofErr w:type="spellEnd"/>
      <w:r w:rsidRPr="00977167">
        <w:t>) apmērā</w:t>
      </w:r>
      <w:r w:rsidR="00730935" w:rsidRPr="00730935">
        <w:t xml:space="preserve"> par katru šādu gadījumu</w:t>
      </w:r>
      <w:r w:rsidRPr="00977167">
        <w:t>;</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w:t>
      </w:r>
      <w:r w:rsidRPr="009E0DA1">
        <w:lastRenderedPageBreak/>
        <w:t xml:space="preserve">politikas izmaiņu gadījumā, vai no Pārdevēja neatkarīgu ārkārtas iemeslu gadījumā (piemēram,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 xml:space="preserve">personāla vai apakšuzņēmēju nomaiņu vai jaunu apakšuzņēmēju iesaistīšanu Līguma izpildē iespējami īsā laikā, bet ne vēlāk kā 5 (piecu) darba dienu laikā pēc tam, kad saņēmis visu informāciju un </w:t>
      </w:r>
      <w:r w:rsidRPr="00CC618D">
        <w:lastRenderedPageBreak/>
        <w:t>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13403F" w:rsidRPr="0013403F" w:rsidRDefault="00A45EA9" w:rsidP="004F1E5B">
      <w:pPr>
        <w:pStyle w:val="Sarakstarindkopa"/>
        <w:numPr>
          <w:ilvl w:val="1"/>
          <w:numId w:val="3"/>
        </w:numPr>
        <w:jc w:val="both"/>
      </w:pPr>
      <w:r w:rsidRPr="00070B3C">
        <w:t xml:space="preserve">Pircējs par pilnvaroto pārstāvi šī līguma izpildes laikā nosaka </w:t>
      </w:r>
      <w:r w:rsidR="0013403F" w:rsidRPr="00070B3C">
        <w:t>Pircējs</w:t>
      </w:r>
      <w:r w:rsidR="0013403F" w:rsidRPr="0013403F">
        <w:t xml:space="preserve"> par pilnvaroto pārstāvi šī līguma izpildes laikā nosaka piegādes vietā </w:t>
      </w:r>
      <w:proofErr w:type="spellStart"/>
      <w:r w:rsidR="0013403F" w:rsidRPr="0013403F">
        <w:t>Uliha</w:t>
      </w:r>
      <w:proofErr w:type="spellEnd"/>
      <w:r w:rsidR="0013403F" w:rsidRPr="0013403F">
        <w:t xml:space="preserve"> ielā 56</w:t>
      </w:r>
      <w:r w:rsidR="004F1E5B">
        <w:t xml:space="preserve"> </w:t>
      </w:r>
      <w:proofErr w:type="spellStart"/>
      <w:r w:rsidR="004F1E5B" w:rsidRPr="004F1E5B">
        <w:t>xxxxxxx</w:t>
      </w:r>
      <w:proofErr w:type="spellEnd"/>
      <w:r w:rsidR="0013403F" w:rsidRPr="0013403F">
        <w:t>, tālrunis</w:t>
      </w:r>
      <w:r w:rsidR="004F1E5B">
        <w:t xml:space="preserve"> </w:t>
      </w:r>
      <w:proofErr w:type="spellStart"/>
      <w:r w:rsidR="004F1E5B" w:rsidRPr="004F1E5B">
        <w:t>xxxxx</w:t>
      </w:r>
      <w:proofErr w:type="spellEnd"/>
      <w:r w:rsidR="0013403F" w:rsidRPr="0013403F">
        <w:t xml:space="preserve">, </w:t>
      </w:r>
      <w:proofErr w:type="spellStart"/>
      <w:r w:rsidR="004F1E5B" w:rsidRPr="004F1E5B">
        <w:t>xxxxxxx</w:t>
      </w:r>
      <w:proofErr w:type="spellEnd"/>
      <w:r w:rsidR="004F1E5B">
        <w:t xml:space="preserve"> </w:t>
      </w:r>
      <w:r w:rsidR="0013403F" w:rsidRPr="0013403F">
        <w:t>un piegādes vietā Klaipēdas ielā 94</w:t>
      </w:r>
      <w:r w:rsidR="004F1E5B">
        <w:t xml:space="preserve"> </w:t>
      </w:r>
      <w:proofErr w:type="spellStart"/>
      <w:r w:rsidR="004F1E5B" w:rsidRPr="004F1E5B">
        <w:t>xxxxxxx</w:t>
      </w:r>
      <w:proofErr w:type="spellEnd"/>
      <w:r w:rsidR="0013403F" w:rsidRPr="0013403F">
        <w:t xml:space="preserve"> , tālrunis </w:t>
      </w:r>
      <w:proofErr w:type="spellStart"/>
      <w:r w:rsidR="004F1E5B" w:rsidRPr="004F1E5B">
        <w:t>xxxxxxx</w:t>
      </w:r>
      <w:proofErr w:type="spellEnd"/>
      <w:r w:rsidR="0013403F" w:rsidRPr="0013403F">
        <w:t>.</w:t>
      </w:r>
    </w:p>
    <w:p w:rsidR="00A45EA9" w:rsidRPr="0013403F" w:rsidRDefault="00A45EA9" w:rsidP="00F33121">
      <w:pPr>
        <w:numPr>
          <w:ilvl w:val="1"/>
          <w:numId w:val="3"/>
        </w:numPr>
        <w:tabs>
          <w:tab w:val="left" w:pos="426"/>
        </w:tabs>
        <w:jc w:val="both"/>
      </w:pPr>
      <w:r w:rsidRPr="0013403F">
        <w:t>Pārdevējs par pilnvaroto pārstāvi šī līguma izpildes laikā nosaka</w:t>
      </w:r>
      <w:r w:rsidR="0013403F">
        <w:t xml:space="preserve"> </w:t>
      </w:r>
      <w:r w:rsidR="00F33121">
        <w:t>–</w:t>
      </w:r>
      <w:r w:rsidR="0013403F">
        <w:t xml:space="preserve"> </w:t>
      </w:r>
      <w:proofErr w:type="spellStart"/>
      <w:r w:rsidR="00F33121" w:rsidRPr="00F33121">
        <w:t>xxxxxxx</w:t>
      </w:r>
      <w:proofErr w:type="spellEnd"/>
      <w:r w:rsidR="00F33121">
        <w:t xml:space="preserve">, tālrunis </w:t>
      </w:r>
      <w:proofErr w:type="spellStart"/>
      <w:r w:rsidR="00F33121" w:rsidRPr="00F33121">
        <w:t>xxxxxxx</w:t>
      </w:r>
      <w:proofErr w:type="spellEnd"/>
      <w:r w:rsidR="0013403F" w:rsidRPr="0013403F">
        <w:t xml:space="preserve">, fakss </w:t>
      </w:r>
      <w:proofErr w:type="spellStart"/>
      <w:r w:rsidR="00F33121" w:rsidRPr="00F33121">
        <w:t>xxxxxxx</w:t>
      </w:r>
      <w:proofErr w:type="spellEnd"/>
      <w:r w:rsidR="0013403F" w:rsidRPr="0013403F">
        <w:t xml:space="preserve">. Preču pasūtīšana tālrunis </w:t>
      </w:r>
      <w:r w:rsidR="00F33121" w:rsidRPr="00F33121">
        <w:t>xxxxxxx</w:t>
      </w:r>
      <w:bookmarkStart w:id="2" w:name="_GoBack"/>
      <w:bookmarkEnd w:id="2"/>
      <w:r w:rsidR="0013403F" w:rsidRPr="0013403F">
        <w:t xml:space="preserve">. </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0006053B">
        <w:rPr>
          <w:b/>
        </w:rPr>
        <w:t>Pušu rekvizīti un paraksti</w:t>
      </w:r>
    </w:p>
    <w:tbl>
      <w:tblPr>
        <w:tblStyle w:val="Reatabula"/>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519"/>
      </w:tblGrid>
      <w:tr w:rsidR="0006053B" w:rsidRPr="0006053B" w:rsidTr="00456787">
        <w:trPr>
          <w:trHeight w:val="211"/>
        </w:trPr>
        <w:tc>
          <w:tcPr>
            <w:tcW w:w="4794" w:type="dxa"/>
          </w:tcPr>
          <w:p w:rsidR="0006053B" w:rsidRPr="0006053B" w:rsidRDefault="0006053B" w:rsidP="0006053B">
            <w:pPr>
              <w:suppressAutoHyphens/>
              <w:rPr>
                <w:rFonts w:eastAsia="Calibri"/>
                <w:b/>
                <w:sz w:val="22"/>
                <w:szCs w:val="22"/>
                <w:lang w:eastAsia="ar-SA"/>
              </w:rPr>
            </w:pPr>
            <w:r w:rsidRPr="0006053B">
              <w:rPr>
                <w:rFonts w:eastAsia="Calibri"/>
                <w:b/>
                <w:sz w:val="22"/>
                <w:szCs w:val="22"/>
                <w:lang w:eastAsia="ar-SA"/>
              </w:rPr>
              <w:t>Pircējs</w:t>
            </w:r>
          </w:p>
        </w:tc>
        <w:tc>
          <w:tcPr>
            <w:tcW w:w="4519" w:type="dxa"/>
          </w:tcPr>
          <w:p w:rsidR="0006053B" w:rsidRPr="0006053B" w:rsidRDefault="0006053B" w:rsidP="0006053B">
            <w:pPr>
              <w:suppressAutoHyphens/>
              <w:rPr>
                <w:rFonts w:eastAsia="Calibri"/>
                <w:b/>
                <w:sz w:val="22"/>
                <w:szCs w:val="22"/>
                <w:lang w:eastAsia="ar-SA"/>
              </w:rPr>
            </w:pPr>
            <w:r w:rsidRPr="0006053B">
              <w:rPr>
                <w:rFonts w:eastAsia="Calibri"/>
                <w:b/>
                <w:sz w:val="22"/>
                <w:szCs w:val="22"/>
                <w:lang w:eastAsia="ar-SA"/>
              </w:rPr>
              <w:t>Pārdevējs</w:t>
            </w:r>
          </w:p>
        </w:tc>
      </w:tr>
      <w:tr w:rsidR="0006053B" w:rsidRPr="0006053B" w:rsidTr="00456787">
        <w:trPr>
          <w:trHeight w:val="2087"/>
        </w:trPr>
        <w:tc>
          <w:tcPr>
            <w:tcW w:w="4794" w:type="dxa"/>
          </w:tcPr>
          <w:p w:rsidR="0006053B" w:rsidRPr="0006053B" w:rsidRDefault="0006053B" w:rsidP="0006053B">
            <w:pPr>
              <w:suppressAutoHyphens/>
              <w:rPr>
                <w:b/>
                <w:sz w:val="22"/>
                <w:szCs w:val="22"/>
              </w:rPr>
            </w:pPr>
            <w:r w:rsidRPr="0006053B">
              <w:rPr>
                <w:b/>
                <w:sz w:val="22"/>
                <w:szCs w:val="22"/>
              </w:rPr>
              <w:t xml:space="preserve">Liepājas Speciālā </w:t>
            </w:r>
            <w:proofErr w:type="spellStart"/>
            <w:r w:rsidRPr="0006053B">
              <w:rPr>
                <w:b/>
                <w:sz w:val="22"/>
                <w:szCs w:val="22"/>
              </w:rPr>
              <w:t>internātpamatskola</w:t>
            </w:r>
            <w:proofErr w:type="spellEnd"/>
            <w:r w:rsidRPr="0006053B">
              <w:rPr>
                <w:b/>
                <w:sz w:val="22"/>
                <w:szCs w:val="22"/>
              </w:rPr>
              <w:t xml:space="preserve"> </w:t>
            </w:r>
          </w:p>
          <w:p w:rsidR="0006053B" w:rsidRPr="0006053B" w:rsidRDefault="0006053B" w:rsidP="0006053B">
            <w:pPr>
              <w:suppressAutoHyphens/>
              <w:rPr>
                <w:sz w:val="22"/>
                <w:szCs w:val="22"/>
              </w:rPr>
            </w:pPr>
            <w:r w:rsidRPr="0006053B">
              <w:rPr>
                <w:sz w:val="22"/>
                <w:szCs w:val="22"/>
              </w:rPr>
              <w:t>Izglītības iestādes reģistrācijas Nr. 3020900938</w:t>
            </w:r>
          </w:p>
          <w:p w:rsidR="0006053B" w:rsidRPr="0006053B" w:rsidRDefault="0006053B" w:rsidP="0006053B">
            <w:pPr>
              <w:suppressAutoHyphens/>
              <w:rPr>
                <w:sz w:val="22"/>
                <w:szCs w:val="22"/>
              </w:rPr>
            </w:pPr>
            <w:r w:rsidRPr="0006053B">
              <w:rPr>
                <w:sz w:val="22"/>
                <w:szCs w:val="22"/>
              </w:rPr>
              <w:t xml:space="preserve">Adrese: </w:t>
            </w:r>
            <w:proofErr w:type="spellStart"/>
            <w:r w:rsidRPr="0006053B">
              <w:rPr>
                <w:sz w:val="22"/>
                <w:szCs w:val="22"/>
              </w:rPr>
              <w:t>Uliha</w:t>
            </w:r>
            <w:proofErr w:type="spellEnd"/>
            <w:r w:rsidRPr="0006053B">
              <w:rPr>
                <w:sz w:val="22"/>
                <w:szCs w:val="22"/>
              </w:rPr>
              <w:t xml:space="preserve"> iela 56, Liepāja, LV-3401</w:t>
            </w:r>
          </w:p>
          <w:p w:rsidR="0006053B" w:rsidRPr="0006053B" w:rsidRDefault="0006053B" w:rsidP="0006053B">
            <w:pPr>
              <w:rPr>
                <w:sz w:val="22"/>
                <w:szCs w:val="22"/>
                <w:lang w:eastAsia="lv-LV"/>
              </w:rPr>
            </w:pPr>
            <w:r w:rsidRPr="0006053B">
              <w:rPr>
                <w:sz w:val="22"/>
                <w:szCs w:val="22"/>
                <w:lang w:eastAsia="lv-LV"/>
              </w:rPr>
              <w:t>Filiāle: Klaipēdas iela 94, Liepāja, LV-3416</w:t>
            </w:r>
          </w:p>
          <w:p w:rsidR="0006053B" w:rsidRPr="0006053B" w:rsidRDefault="0006053B" w:rsidP="0006053B">
            <w:pPr>
              <w:rPr>
                <w:b/>
                <w:sz w:val="22"/>
                <w:szCs w:val="22"/>
                <w:lang w:eastAsia="lv-LV"/>
              </w:rPr>
            </w:pPr>
            <w:r w:rsidRPr="0006053B">
              <w:rPr>
                <w:b/>
                <w:sz w:val="22"/>
                <w:szCs w:val="22"/>
                <w:lang w:eastAsia="lv-LV"/>
              </w:rPr>
              <w:t>Maksātājs:</w:t>
            </w:r>
          </w:p>
          <w:p w:rsidR="0006053B" w:rsidRPr="0006053B" w:rsidRDefault="0006053B" w:rsidP="0006053B">
            <w:pPr>
              <w:rPr>
                <w:sz w:val="22"/>
                <w:szCs w:val="22"/>
                <w:lang w:eastAsia="lv-LV"/>
              </w:rPr>
            </w:pPr>
            <w:r w:rsidRPr="0006053B">
              <w:rPr>
                <w:sz w:val="22"/>
                <w:szCs w:val="22"/>
                <w:lang w:eastAsia="lv-LV"/>
              </w:rPr>
              <w:t>Liepājas pilsētas pašvaldības iestāde “Liepājas pilsētas Izglītības pārvalde”</w:t>
            </w:r>
          </w:p>
          <w:p w:rsidR="0006053B" w:rsidRPr="0006053B" w:rsidRDefault="0006053B" w:rsidP="0006053B">
            <w:pPr>
              <w:rPr>
                <w:sz w:val="22"/>
                <w:szCs w:val="22"/>
                <w:lang w:eastAsia="lv-LV"/>
              </w:rPr>
            </w:pPr>
            <w:proofErr w:type="spellStart"/>
            <w:r w:rsidRPr="0006053B">
              <w:rPr>
                <w:sz w:val="22"/>
                <w:szCs w:val="22"/>
                <w:lang w:eastAsia="lv-LV"/>
              </w:rPr>
              <w:t>Uliha</w:t>
            </w:r>
            <w:proofErr w:type="spellEnd"/>
            <w:r w:rsidRPr="0006053B">
              <w:rPr>
                <w:sz w:val="22"/>
                <w:szCs w:val="22"/>
                <w:lang w:eastAsia="lv-LV"/>
              </w:rPr>
              <w:t xml:space="preserve"> iela 36, Liepāja, LV-3401</w:t>
            </w:r>
          </w:p>
          <w:p w:rsidR="0006053B" w:rsidRPr="0006053B" w:rsidRDefault="0006053B" w:rsidP="0006053B">
            <w:pPr>
              <w:rPr>
                <w:sz w:val="22"/>
                <w:szCs w:val="22"/>
                <w:lang w:eastAsia="lv-LV"/>
              </w:rPr>
            </w:pPr>
            <w:r w:rsidRPr="0006053B">
              <w:rPr>
                <w:sz w:val="22"/>
                <w:szCs w:val="22"/>
                <w:lang w:eastAsia="lv-LV"/>
              </w:rPr>
              <w:t xml:space="preserve">Vienotais </w:t>
            </w:r>
            <w:proofErr w:type="spellStart"/>
            <w:r w:rsidRPr="0006053B">
              <w:rPr>
                <w:sz w:val="22"/>
                <w:szCs w:val="22"/>
                <w:lang w:eastAsia="lv-LV"/>
              </w:rPr>
              <w:t>reģ.Nr</w:t>
            </w:r>
            <w:proofErr w:type="spellEnd"/>
            <w:r w:rsidRPr="0006053B">
              <w:rPr>
                <w:sz w:val="22"/>
                <w:szCs w:val="22"/>
                <w:lang w:eastAsia="lv-LV"/>
              </w:rPr>
              <w:t>. 90000063151</w:t>
            </w:r>
          </w:p>
        </w:tc>
        <w:tc>
          <w:tcPr>
            <w:tcW w:w="4519" w:type="dxa"/>
          </w:tcPr>
          <w:p w:rsidR="0006053B" w:rsidRPr="00CC1316" w:rsidRDefault="0006053B" w:rsidP="0006053B">
            <w:pPr>
              <w:rPr>
                <w:b/>
              </w:rPr>
            </w:pPr>
            <w:r w:rsidRPr="00CC1316">
              <w:rPr>
                <w:b/>
              </w:rPr>
              <w:t xml:space="preserve">AS ”LPB” </w:t>
            </w:r>
          </w:p>
          <w:p w:rsidR="0006053B" w:rsidRPr="0006053B" w:rsidRDefault="0006053B" w:rsidP="0006053B">
            <w:pPr>
              <w:suppressAutoHyphens/>
              <w:rPr>
                <w:rFonts w:eastAsia="Calibri"/>
                <w:sz w:val="22"/>
                <w:szCs w:val="22"/>
                <w:lang w:eastAsia="ar-SA"/>
              </w:rPr>
            </w:pPr>
            <w:r w:rsidRPr="0006053B">
              <w:rPr>
                <w:rFonts w:eastAsia="Calibri"/>
                <w:sz w:val="22"/>
                <w:szCs w:val="22"/>
                <w:lang w:eastAsia="ar-SA"/>
              </w:rPr>
              <w:t>reģistrācijas Nr.</w:t>
            </w:r>
            <w:r w:rsidRPr="00CC1316">
              <w:rPr>
                <w:sz w:val="22"/>
                <w:szCs w:val="22"/>
              </w:rPr>
              <w:t>52103003541</w:t>
            </w:r>
          </w:p>
          <w:p w:rsidR="0006053B" w:rsidRPr="00CC1316" w:rsidRDefault="0006053B" w:rsidP="0006053B">
            <w:pPr>
              <w:suppressAutoHyphens/>
              <w:rPr>
                <w:rFonts w:eastAsia="Calibri"/>
                <w:sz w:val="22"/>
                <w:szCs w:val="22"/>
                <w:lang w:eastAsia="ar-SA"/>
              </w:rPr>
            </w:pPr>
          </w:p>
          <w:p w:rsidR="0006053B" w:rsidRPr="0006053B" w:rsidRDefault="0006053B" w:rsidP="0006053B">
            <w:pPr>
              <w:suppressAutoHyphens/>
              <w:rPr>
                <w:rFonts w:eastAsia="Calibri"/>
                <w:sz w:val="22"/>
                <w:szCs w:val="22"/>
                <w:lang w:eastAsia="ar-SA"/>
              </w:rPr>
            </w:pPr>
            <w:r w:rsidRPr="0006053B">
              <w:rPr>
                <w:rFonts w:eastAsia="Calibri"/>
                <w:sz w:val="22"/>
                <w:szCs w:val="22"/>
                <w:lang w:eastAsia="ar-SA"/>
              </w:rPr>
              <w:t xml:space="preserve">Adrese: </w:t>
            </w:r>
            <w:r w:rsidRPr="00CC1316">
              <w:rPr>
                <w:rFonts w:eastAsia="Calibri"/>
                <w:sz w:val="22"/>
                <w:szCs w:val="22"/>
                <w:lang w:eastAsia="ar-SA"/>
              </w:rPr>
              <w:t xml:space="preserve">Brīvības iela 56, Liepāja, LV-3401 </w:t>
            </w:r>
          </w:p>
          <w:p w:rsidR="0006053B" w:rsidRPr="0006053B" w:rsidRDefault="0006053B" w:rsidP="0006053B">
            <w:pPr>
              <w:rPr>
                <w:rFonts w:eastAsia="Calibri"/>
                <w:sz w:val="22"/>
                <w:szCs w:val="22"/>
                <w:lang w:eastAsia="ar-SA"/>
              </w:rPr>
            </w:pPr>
          </w:p>
          <w:p w:rsidR="0006053B" w:rsidRPr="0006053B" w:rsidRDefault="0006053B" w:rsidP="0006053B">
            <w:pPr>
              <w:rPr>
                <w:rFonts w:eastAsia="Calibri"/>
                <w:sz w:val="22"/>
                <w:szCs w:val="22"/>
                <w:lang w:eastAsia="ar-SA"/>
              </w:rPr>
            </w:pPr>
          </w:p>
        </w:tc>
      </w:tr>
      <w:tr w:rsidR="0006053B" w:rsidRPr="0006053B" w:rsidTr="00456787">
        <w:trPr>
          <w:trHeight w:val="1256"/>
        </w:trPr>
        <w:tc>
          <w:tcPr>
            <w:tcW w:w="4794" w:type="dxa"/>
          </w:tcPr>
          <w:p w:rsidR="0006053B" w:rsidRPr="0006053B" w:rsidRDefault="0006053B" w:rsidP="0006053B">
            <w:pPr>
              <w:suppressAutoHyphens/>
              <w:rPr>
                <w:rFonts w:eastAsia="Calibri"/>
                <w:sz w:val="22"/>
                <w:szCs w:val="22"/>
                <w:lang w:eastAsia="ar-SA"/>
              </w:rPr>
            </w:pPr>
          </w:p>
          <w:p w:rsidR="0006053B" w:rsidRPr="0006053B" w:rsidRDefault="0006053B" w:rsidP="0006053B">
            <w:pPr>
              <w:suppressAutoHyphens/>
              <w:rPr>
                <w:rFonts w:eastAsia="Calibri"/>
                <w:sz w:val="22"/>
                <w:szCs w:val="22"/>
                <w:lang w:eastAsia="ar-SA"/>
              </w:rPr>
            </w:pPr>
            <w:r w:rsidRPr="0006053B">
              <w:rPr>
                <w:rFonts w:eastAsia="Calibri"/>
                <w:sz w:val="22"/>
                <w:szCs w:val="22"/>
                <w:lang w:eastAsia="ar-SA"/>
              </w:rPr>
              <w:t>Bankas nosaukums:</w:t>
            </w:r>
            <w:r w:rsidRPr="0006053B">
              <w:t xml:space="preserve"> </w:t>
            </w:r>
            <w:r w:rsidRPr="0006053B">
              <w:rPr>
                <w:rFonts w:eastAsia="Calibri"/>
                <w:sz w:val="22"/>
                <w:szCs w:val="22"/>
                <w:lang w:eastAsia="ar-SA"/>
              </w:rPr>
              <w:t xml:space="preserve">AS SEB banka </w:t>
            </w:r>
          </w:p>
          <w:p w:rsidR="0006053B" w:rsidRPr="0006053B" w:rsidRDefault="0006053B" w:rsidP="0006053B">
            <w:pPr>
              <w:suppressAutoHyphens/>
              <w:rPr>
                <w:rFonts w:eastAsia="Calibri"/>
                <w:sz w:val="22"/>
                <w:szCs w:val="22"/>
                <w:lang w:eastAsia="ar-SA"/>
              </w:rPr>
            </w:pPr>
            <w:r w:rsidRPr="0006053B">
              <w:rPr>
                <w:rFonts w:eastAsia="Calibri"/>
                <w:sz w:val="22"/>
                <w:szCs w:val="22"/>
                <w:lang w:eastAsia="ar-SA"/>
              </w:rPr>
              <w:t>SWIFT Kods: UNLALV2X</w:t>
            </w:r>
          </w:p>
          <w:p w:rsidR="0006053B" w:rsidRPr="0006053B" w:rsidRDefault="0006053B" w:rsidP="0006053B">
            <w:pPr>
              <w:rPr>
                <w:sz w:val="22"/>
                <w:szCs w:val="22"/>
                <w:lang w:eastAsia="lv-LV"/>
              </w:rPr>
            </w:pPr>
            <w:r w:rsidRPr="0006053B">
              <w:rPr>
                <w:rFonts w:eastAsia="Calibri"/>
                <w:sz w:val="22"/>
                <w:szCs w:val="22"/>
                <w:lang w:eastAsia="ar-SA"/>
              </w:rPr>
              <w:t>Norēķinu konta Nr.:</w:t>
            </w:r>
            <w:r w:rsidRPr="0006053B">
              <w:rPr>
                <w:lang w:eastAsia="lv-LV"/>
              </w:rPr>
              <w:t xml:space="preserve"> </w:t>
            </w:r>
            <w:r w:rsidRPr="0006053B">
              <w:rPr>
                <w:rFonts w:eastAsia="Calibri"/>
                <w:sz w:val="22"/>
                <w:szCs w:val="22"/>
                <w:lang w:eastAsia="ar-SA"/>
              </w:rPr>
              <w:t>LV78UNLA0022700004100</w:t>
            </w:r>
          </w:p>
          <w:p w:rsidR="0006053B" w:rsidRPr="0006053B" w:rsidRDefault="0006053B" w:rsidP="0006053B">
            <w:pPr>
              <w:rPr>
                <w:sz w:val="22"/>
                <w:szCs w:val="22"/>
                <w:lang w:eastAsia="lv-LV"/>
              </w:rPr>
            </w:pPr>
          </w:p>
        </w:tc>
        <w:tc>
          <w:tcPr>
            <w:tcW w:w="4519" w:type="dxa"/>
          </w:tcPr>
          <w:p w:rsidR="0006053B" w:rsidRPr="0006053B" w:rsidRDefault="0006053B" w:rsidP="0006053B">
            <w:pPr>
              <w:rPr>
                <w:rFonts w:eastAsia="Calibri"/>
                <w:sz w:val="22"/>
                <w:szCs w:val="22"/>
                <w:lang w:eastAsia="ar-SA"/>
              </w:rPr>
            </w:pPr>
          </w:p>
          <w:p w:rsidR="0006053B" w:rsidRDefault="0006053B" w:rsidP="0006053B">
            <w:pPr>
              <w:rPr>
                <w:rFonts w:eastAsia="Calibri"/>
                <w:sz w:val="22"/>
                <w:szCs w:val="22"/>
                <w:lang w:eastAsia="ar-SA"/>
              </w:rPr>
            </w:pPr>
            <w:r w:rsidRPr="0006053B">
              <w:rPr>
                <w:rFonts w:eastAsia="Calibri"/>
                <w:sz w:val="22"/>
                <w:szCs w:val="22"/>
                <w:lang w:eastAsia="ar-SA"/>
              </w:rPr>
              <w:t xml:space="preserve">Bankas nosaukums: </w:t>
            </w:r>
            <w:proofErr w:type="spellStart"/>
            <w:r w:rsidR="00D574E4" w:rsidRPr="00D574E4">
              <w:rPr>
                <w:rFonts w:eastAsia="Calibri"/>
                <w:sz w:val="22"/>
                <w:szCs w:val="22"/>
                <w:lang w:eastAsia="ar-SA"/>
              </w:rPr>
              <w:t>xxxxxxx</w:t>
            </w:r>
            <w:proofErr w:type="spellEnd"/>
            <w:r w:rsidR="00D574E4">
              <w:rPr>
                <w:rFonts w:eastAsia="Calibri"/>
                <w:sz w:val="22"/>
                <w:szCs w:val="22"/>
                <w:lang w:eastAsia="ar-SA"/>
              </w:rPr>
              <w:t xml:space="preserve"> </w:t>
            </w:r>
          </w:p>
          <w:p w:rsidR="0006053B" w:rsidRDefault="0006053B" w:rsidP="0006053B">
            <w:r w:rsidRPr="0006053B">
              <w:rPr>
                <w:rFonts w:eastAsia="Calibri"/>
                <w:sz w:val="22"/>
                <w:szCs w:val="22"/>
                <w:lang w:eastAsia="ar-SA"/>
              </w:rPr>
              <w:t>SWIFT kods:</w:t>
            </w:r>
            <w:r w:rsidRPr="0006053B">
              <w:t xml:space="preserve"> </w:t>
            </w:r>
            <w:proofErr w:type="spellStart"/>
            <w:r w:rsidR="00D574E4" w:rsidRPr="00D574E4">
              <w:t>xxxxxxx</w:t>
            </w:r>
            <w:proofErr w:type="spellEnd"/>
          </w:p>
          <w:p w:rsidR="0006053B" w:rsidRPr="0006053B" w:rsidRDefault="0006053B" w:rsidP="0006053B">
            <w:pPr>
              <w:rPr>
                <w:rFonts w:eastAsia="Calibri"/>
                <w:sz w:val="22"/>
                <w:szCs w:val="22"/>
                <w:lang w:eastAsia="ar-SA"/>
              </w:rPr>
            </w:pPr>
            <w:r w:rsidRPr="0006053B">
              <w:rPr>
                <w:rFonts w:eastAsia="Calibri"/>
                <w:sz w:val="22"/>
                <w:szCs w:val="22"/>
                <w:lang w:eastAsia="ar-SA"/>
              </w:rPr>
              <w:t xml:space="preserve">Norēķinu konta Nr.: </w:t>
            </w:r>
          </w:p>
          <w:p w:rsidR="0006053B" w:rsidRPr="0006053B" w:rsidRDefault="00D574E4" w:rsidP="0006053B">
            <w:pPr>
              <w:rPr>
                <w:rFonts w:eastAsia="Calibri"/>
                <w:sz w:val="22"/>
                <w:szCs w:val="22"/>
                <w:lang w:eastAsia="ar-SA"/>
              </w:rPr>
            </w:pPr>
            <w:r w:rsidRPr="00D574E4">
              <w:rPr>
                <w:rFonts w:eastAsia="Calibri"/>
                <w:sz w:val="22"/>
                <w:szCs w:val="22"/>
                <w:lang w:eastAsia="ar-SA"/>
              </w:rPr>
              <w:t>xxxxxxx</w:t>
            </w:r>
            <w:r>
              <w:rPr>
                <w:rFonts w:eastAsia="Calibri"/>
                <w:sz w:val="22"/>
                <w:szCs w:val="22"/>
                <w:lang w:eastAsia="ar-SA"/>
              </w:rPr>
              <w:t>xxxxxxxxxxxxxxxxxx</w:t>
            </w:r>
          </w:p>
        </w:tc>
      </w:tr>
      <w:tr w:rsidR="0006053B" w:rsidRPr="0006053B" w:rsidTr="00456787">
        <w:trPr>
          <w:trHeight w:val="628"/>
        </w:trPr>
        <w:tc>
          <w:tcPr>
            <w:tcW w:w="4794" w:type="dxa"/>
          </w:tcPr>
          <w:p w:rsidR="0006053B" w:rsidRPr="0006053B" w:rsidRDefault="0006053B" w:rsidP="0006053B">
            <w:pPr>
              <w:suppressAutoHyphens/>
              <w:rPr>
                <w:sz w:val="22"/>
                <w:szCs w:val="22"/>
              </w:rPr>
            </w:pPr>
          </w:p>
          <w:p w:rsidR="0006053B" w:rsidRPr="0006053B" w:rsidRDefault="0006053B" w:rsidP="0006053B">
            <w:pPr>
              <w:suppressAutoHyphens/>
              <w:rPr>
                <w:sz w:val="22"/>
                <w:szCs w:val="22"/>
              </w:rPr>
            </w:pP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r>
            <w:r w:rsidRPr="0006053B">
              <w:rPr>
                <w:sz w:val="22"/>
                <w:szCs w:val="22"/>
              </w:rPr>
              <w:softHyphen/>
              <w:t>_____________________</w:t>
            </w:r>
          </w:p>
          <w:p w:rsidR="0006053B" w:rsidRPr="0006053B" w:rsidRDefault="0006053B" w:rsidP="0006053B">
            <w:pPr>
              <w:suppressAutoHyphens/>
              <w:rPr>
                <w:sz w:val="22"/>
                <w:szCs w:val="22"/>
              </w:rPr>
            </w:pPr>
            <w:proofErr w:type="spellStart"/>
            <w:r w:rsidRPr="0006053B">
              <w:rPr>
                <w:sz w:val="22"/>
                <w:szCs w:val="22"/>
              </w:rPr>
              <w:t>A.Brikmanis</w:t>
            </w:r>
            <w:proofErr w:type="spellEnd"/>
          </w:p>
        </w:tc>
        <w:tc>
          <w:tcPr>
            <w:tcW w:w="4519" w:type="dxa"/>
          </w:tcPr>
          <w:p w:rsidR="0006053B" w:rsidRPr="0006053B" w:rsidRDefault="0006053B" w:rsidP="0006053B">
            <w:pPr>
              <w:suppressAutoHyphens/>
              <w:rPr>
                <w:rFonts w:eastAsia="Calibri"/>
                <w:sz w:val="22"/>
                <w:szCs w:val="22"/>
                <w:lang w:eastAsia="ar-SA"/>
              </w:rPr>
            </w:pPr>
          </w:p>
          <w:p w:rsidR="0006053B" w:rsidRPr="0006053B" w:rsidRDefault="0006053B" w:rsidP="0006053B">
            <w:pPr>
              <w:suppressAutoHyphens/>
              <w:rPr>
                <w:rFonts w:eastAsia="Calibri"/>
                <w:sz w:val="22"/>
                <w:szCs w:val="22"/>
                <w:lang w:eastAsia="ar-SA"/>
              </w:rPr>
            </w:pPr>
            <w:r w:rsidRPr="0006053B">
              <w:rPr>
                <w:rFonts w:eastAsia="Calibri"/>
                <w:sz w:val="22"/>
                <w:szCs w:val="22"/>
                <w:lang w:eastAsia="ar-SA"/>
              </w:rPr>
              <w:t>_______________________</w:t>
            </w:r>
          </w:p>
          <w:p w:rsidR="0006053B" w:rsidRPr="0006053B" w:rsidRDefault="004313FB" w:rsidP="0006053B">
            <w:pPr>
              <w:suppressAutoHyphens/>
              <w:rPr>
                <w:rFonts w:eastAsia="Calibri"/>
                <w:sz w:val="22"/>
                <w:szCs w:val="22"/>
                <w:lang w:eastAsia="ar-SA"/>
              </w:rPr>
            </w:pPr>
            <w:proofErr w:type="spellStart"/>
            <w:r>
              <w:rPr>
                <w:rFonts w:eastAsia="Calibri"/>
                <w:sz w:val="22"/>
                <w:szCs w:val="22"/>
                <w:lang w:eastAsia="ar-SA"/>
              </w:rPr>
              <w:t>Z.Briķe</w:t>
            </w:r>
            <w:proofErr w:type="spellEnd"/>
          </w:p>
        </w:tc>
      </w:tr>
      <w:tr w:rsidR="0006053B" w:rsidRPr="0006053B" w:rsidTr="00456787">
        <w:trPr>
          <w:trHeight w:val="190"/>
        </w:trPr>
        <w:tc>
          <w:tcPr>
            <w:tcW w:w="4794" w:type="dxa"/>
          </w:tcPr>
          <w:p w:rsidR="0006053B" w:rsidRPr="0006053B" w:rsidRDefault="0006053B" w:rsidP="0006053B">
            <w:pPr>
              <w:suppressAutoHyphens/>
              <w:rPr>
                <w:sz w:val="20"/>
                <w:szCs w:val="20"/>
              </w:rPr>
            </w:pPr>
          </w:p>
        </w:tc>
        <w:tc>
          <w:tcPr>
            <w:tcW w:w="4519" w:type="dxa"/>
          </w:tcPr>
          <w:p w:rsidR="0006053B" w:rsidRPr="0006053B" w:rsidRDefault="0006053B" w:rsidP="0006053B">
            <w:pPr>
              <w:suppressAutoHyphens/>
              <w:rPr>
                <w:rFonts w:eastAsia="Calibri"/>
                <w:sz w:val="20"/>
                <w:szCs w:val="20"/>
                <w:lang w:eastAsia="ar-SA"/>
              </w:rPr>
            </w:pPr>
          </w:p>
        </w:tc>
      </w:tr>
    </w:tbl>
    <w:p w:rsidR="0006053B" w:rsidRDefault="0006053B" w:rsidP="00F80633">
      <w:pPr>
        <w:tabs>
          <w:tab w:val="left" w:pos="2520"/>
        </w:tabs>
        <w:rPr>
          <w:b/>
        </w:rPr>
      </w:pPr>
    </w:p>
    <w:sectPr w:rsidR="0006053B" w:rsidSect="00A45EA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4C" w:rsidRDefault="0055174C" w:rsidP="006A3178">
      <w:r>
        <w:separator/>
      </w:r>
    </w:p>
  </w:endnote>
  <w:endnote w:type="continuationSeparator" w:id="0">
    <w:p w:rsidR="0055174C" w:rsidRDefault="0055174C"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F33121">
          <w:rPr>
            <w:noProof/>
            <w:sz w:val="20"/>
            <w:szCs w:val="20"/>
          </w:rPr>
          <w:t>6</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4C" w:rsidRDefault="0055174C" w:rsidP="006A3178">
      <w:r>
        <w:separator/>
      </w:r>
    </w:p>
  </w:footnote>
  <w:footnote w:type="continuationSeparator" w:id="0">
    <w:p w:rsidR="0055174C" w:rsidRDefault="0055174C"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6053B"/>
    <w:rsid w:val="00070B3C"/>
    <w:rsid w:val="000815CD"/>
    <w:rsid w:val="00094590"/>
    <w:rsid w:val="00112343"/>
    <w:rsid w:val="00130C6A"/>
    <w:rsid w:val="0013403F"/>
    <w:rsid w:val="00156CC7"/>
    <w:rsid w:val="00184881"/>
    <w:rsid w:val="001B2CF6"/>
    <w:rsid w:val="001E0103"/>
    <w:rsid w:val="00243F66"/>
    <w:rsid w:val="002509A2"/>
    <w:rsid w:val="00285136"/>
    <w:rsid w:val="00301C0B"/>
    <w:rsid w:val="004313FB"/>
    <w:rsid w:val="00441107"/>
    <w:rsid w:val="00453A96"/>
    <w:rsid w:val="00456787"/>
    <w:rsid w:val="004634AA"/>
    <w:rsid w:val="004A02FA"/>
    <w:rsid w:val="004B06FD"/>
    <w:rsid w:val="004B5972"/>
    <w:rsid w:val="004B7FA7"/>
    <w:rsid w:val="004F1E5B"/>
    <w:rsid w:val="0055174C"/>
    <w:rsid w:val="00570490"/>
    <w:rsid w:val="00586373"/>
    <w:rsid w:val="005D7EEB"/>
    <w:rsid w:val="005F0940"/>
    <w:rsid w:val="00606AE7"/>
    <w:rsid w:val="006163F5"/>
    <w:rsid w:val="0063150B"/>
    <w:rsid w:val="00642C41"/>
    <w:rsid w:val="006745FA"/>
    <w:rsid w:val="006A3178"/>
    <w:rsid w:val="006A7777"/>
    <w:rsid w:val="00726FB0"/>
    <w:rsid w:val="00730935"/>
    <w:rsid w:val="0074680C"/>
    <w:rsid w:val="008142C5"/>
    <w:rsid w:val="008C5FA5"/>
    <w:rsid w:val="008E5AD3"/>
    <w:rsid w:val="00977167"/>
    <w:rsid w:val="009B6ABB"/>
    <w:rsid w:val="00A45EA9"/>
    <w:rsid w:val="00A52E61"/>
    <w:rsid w:val="00B33581"/>
    <w:rsid w:val="00B351E4"/>
    <w:rsid w:val="00B8467F"/>
    <w:rsid w:val="00BB63A4"/>
    <w:rsid w:val="00C00C37"/>
    <w:rsid w:val="00C07A8B"/>
    <w:rsid w:val="00C621EE"/>
    <w:rsid w:val="00CC1316"/>
    <w:rsid w:val="00D574E4"/>
    <w:rsid w:val="00D73D7A"/>
    <w:rsid w:val="00D8077B"/>
    <w:rsid w:val="00DB0787"/>
    <w:rsid w:val="00DF7017"/>
    <w:rsid w:val="00E2598F"/>
    <w:rsid w:val="00E40ED7"/>
    <w:rsid w:val="00E53A7B"/>
    <w:rsid w:val="00F33121"/>
    <w:rsid w:val="00F74B03"/>
    <w:rsid w:val="00F80633"/>
    <w:rsid w:val="00F97A26"/>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0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0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B75E-B17B-4D5B-BD1D-D4D8EE48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12710</Words>
  <Characters>7245</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4</cp:revision>
  <cp:lastPrinted>2017-09-06T07:28:00Z</cp:lastPrinted>
  <dcterms:created xsi:type="dcterms:W3CDTF">2017-11-24T07:25:00Z</dcterms:created>
  <dcterms:modified xsi:type="dcterms:W3CDTF">2017-11-24T07:36:00Z</dcterms:modified>
</cp:coreProperties>
</file>